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bookmarkStart w:id="0" w:name="_GoBack"/>
      <w:bookmarkEnd w:id="0"/>
      <w:r>
        <w:rPr>
          <w:rStyle w:val="s10"/>
          <w:b/>
          <w:bCs/>
          <w:color w:val="22272F"/>
        </w:rPr>
        <w:t>ПРИЛОЖЕНИЕ N 28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к </w:t>
      </w:r>
      <w:hyperlink r:id="rId4" w:anchor="block_1000" w:history="1">
        <w:r>
          <w:rPr>
            <w:rStyle w:val="a3"/>
            <w:b/>
            <w:bCs/>
            <w:color w:val="3272C0"/>
            <w:u w:val="none"/>
          </w:rPr>
          <w:t>государственной программе</w:t>
        </w:r>
      </w:hyperlink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Российской Федерации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"Развитие образования"</w:t>
      </w:r>
    </w:p>
    <w:p w:rsidR="00CD41D8" w:rsidRDefault="00CD41D8" w:rsidP="00CD41D8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CD41D8" w:rsidRDefault="00CD41D8" w:rsidP="00CD41D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Правила</w:t>
      </w:r>
      <w:r>
        <w:rPr>
          <w:b/>
          <w:bCs/>
          <w:color w:val="22272F"/>
          <w:sz w:val="30"/>
          <w:szCs w:val="30"/>
        </w:rPr>
        <w:br/>
        <w:t>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CD41D8" w:rsidRDefault="00CD41D8" w:rsidP="00CD41D8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1. Настоящие Правила устанавливают цели, условия и порядок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общеобразовательные организации), в рамках реализации </w:t>
      </w:r>
      <w:hyperlink r:id="rId5" w:anchor="block_1000" w:history="1">
        <w:r>
          <w:rPr>
            <w:rStyle w:val="a3"/>
            <w:color w:val="3272C0"/>
            <w:u w:val="none"/>
          </w:rPr>
          <w:t>государственной программы</w:t>
        </w:r>
      </w:hyperlink>
      <w:r>
        <w:rPr>
          <w:color w:val="464C55"/>
        </w:rPr>
        <w:t> Российской Федерации "Развитие образования" (далее - иные межбюджетные трансферты).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2. Иные межбюджетные трансферты предоставляются в целях </w:t>
      </w:r>
      <w:proofErr w:type="spellStart"/>
      <w:r>
        <w:rPr>
          <w:color w:val="464C55"/>
        </w:rPr>
        <w:t>софинансирования</w:t>
      </w:r>
      <w:proofErr w:type="spellEnd"/>
      <w:r>
        <w:rPr>
          <w:color w:val="464C55"/>
        </w:rPr>
        <w:t xml:space="preserve"> в полном объеме расходных обязательств субъектов Российской Федерации,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 </w:t>
      </w:r>
      <w:hyperlink r:id="rId6" w:anchor="block_5" w:history="1">
        <w:r>
          <w:rPr>
            <w:rStyle w:val="a3"/>
            <w:color w:val="3272C0"/>
            <w:u w:val="none"/>
          </w:rPr>
          <w:t>трудовым законодательством</w:t>
        </w:r>
      </w:hyperlink>
      <w:r>
        <w:rPr>
          <w:color w:val="464C55"/>
        </w:rPr>
        <w:t> 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 и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(далее - районные коэффициенты) и процентной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 (далее - процентные надбавки).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3. Иные межбюджетные трансферты предоставляются в пределах лимитов бюджетных обязательств, доведенных в установленном порядке до Министерства просвещения </w:t>
      </w:r>
      <w:r>
        <w:rPr>
          <w:color w:val="464C55"/>
        </w:rPr>
        <w:lastRenderedPageBreak/>
        <w:t>Российской Федерации как получателя средств федерального бюджета на цели, указанные в </w:t>
      </w:r>
      <w:hyperlink r:id="rId7" w:anchor="block_28002" w:history="1">
        <w:r>
          <w:rPr>
            <w:rStyle w:val="a3"/>
            <w:color w:val="3272C0"/>
            <w:u w:val="none"/>
          </w:rPr>
          <w:t>пункте 2</w:t>
        </w:r>
      </w:hyperlink>
      <w:r>
        <w:rPr>
          <w:color w:val="464C55"/>
        </w:rPr>
        <w:t> настоящих Правил.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4. Распределение иных межбюджетных трансфертов между бюджетами субъектов Российской Федерации утверждается </w:t>
      </w:r>
      <w:hyperlink r:id="rId8" w:history="1">
        <w:r>
          <w:rPr>
            <w:rStyle w:val="a3"/>
            <w:color w:val="3272C0"/>
            <w:u w:val="none"/>
          </w:rPr>
          <w:t>федеральным законом</w:t>
        </w:r>
      </w:hyperlink>
      <w:r>
        <w:rPr>
          <w:color w:val="464C55"/>
        </w:rPr>
        <w:t> о федеральном бюджете на соответствующий финансовый год и плановый период.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5. Критерием отбора субъекта Российской Федерации для предоставления иного межбюджетного трансферта является наличие потребности субъекта Российской Федерации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года.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6. Условием предоставления иных межбюджетных трансфертов является наличие у субъекта Российской Федерации принятого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>
        <w:rPr>
          <w:color w:val="464C55"/>
        </w:rPr>
        <w:t>софинансирования</w:t>
      </w:r>
      <w:proofErr w:type="spellEnd"/>
      <w:r>
        <w:rPr>
          <w:color w:val="464C55"/>
        </w:rPr>
        <w:t xml:space="preserve"> которого предоставляются иные межбюджетные трансферты.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7. Предоставление иных межбюджетных трансфертов осуществляется на основании соглашения о предоставлении иного межбюджетного трансферта, заключаемого Министерством просвещения Российской Федерации и высшим исполнительным органом государственной власти субъекта Российской Федерации (далее - соглашение)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Федерации, утвержденной Министерством финансов Российской Федерации.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условия предоставления иного межбюджетного трансферта, предусмотренного </w:t>
      </w:r>
      <w:hyperlink r:id="rId9" w:anchor="block_28006" w:history="1">
        <w:r>
          <w:rPr>
            <w:rStyle w:val="a3"/>
            <w:color w:val="3272C0"/>
            <w:u w:val="none"/>
          </w:rPr>
          <w:t>пунктом 6</w:t>
        </w:r>
      </w:hyperlink>
      <w:r>
        <w:rPr>
          <w:color w:val="464C55"/>
        </w:rPr>
        <w:t> настоящих Правил.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8. В целях реализации принятого субъектом Российской Федерации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>
        <w:rPr>
          <w:color w:val="464C55"/>
        </w:rPr>
        <w:t>софинансирования</w:t>
      </w:r>
      <w:proofErr w:type="spellEnd"/>
      <w:r>
        <w:rPr>
          <w:color w:val="464C55"/>
        </w:rPr>
        <w:t xml:space="preserve"> которого предоставляются межбюджетные трансферты,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9.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установленный срок в соответствии с соглашением в государственной интегрированной информационной системе управления общественными финансами "Электронный бюджет":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отчет о расходах бюджета субъекта Российской Федерации, в целях </w:t>
      </w:r>
      <w:proofErr w:type="spellStart"/>
      <w:r>
        <w:rPr>
          <w:color w:val="464C55"/>
        </w:rPr>
        <w:t>софинансирования</w:t>
      </w:r>
      <w:proofErr w:type="spellEnd"/>
      <w:r>
        <w:rPr>
          <w:color w:val="464C55"/>
        </w:rPr>
        <w:t xml:space="preserve"> которых предоставляются иные межбюджетные трансферты, - ежемесячно, не позднее 10-го числа месяца, следующего за отчетным месяцем;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отчет о достижении значения результата предоставления иных межбюджетных трансфертов, которое устанавливается в соглашении, - ежемесячно, не позднее 10-го числа месяца, следующего за отчетным месяцем.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10. Результатом предоставления иных межбюджетных трансфертов является доля педагогических работников общеобразовательных организаций,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категории.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11. Размер предоставляемого бюджету субъекта Российской Федерации иного межбюджетного трансферта (T</w:t>
      </w:r>
      <w:r>
        <w:rPr>
          <w:color w:val="464C55"/>
          <w:sz w:val="18"/>
          <w:szCs w:val="18"/>
          <w:vertAlign w:val="subscript"/>
        </w:rPr>
        <w:t> 1i</w:t>
      </w:r>
      <w:r>
        <w:rPr>
          <w:color w:val="464C55"/>
        </w:rPr>
        <w:t>) определяется по формуле:</w:t>
      </w:r>
    </w:p>
    <w:p w:rsidR="00CD41D8" w:rsidRDefault="00CD41D8" w:rsidP="00CD41D8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ind w:firstLine="680"/>
        <w:jc w:val="center"/>
        <w:rPr>
          <w:color w:val="464C55"/>
        </w:rPr>
      </w:pPr>
      <w:r>
        <w:rPr>
          <w:color w:val="464C55"/>
        </w:rPr>
        <w:t>Т</w:t>
      </w:r>
      <w:r>
        <w:rPr>
          <w:color w:val="464C55"/>
          <w:sz w:val="18"/>
          <w:szCs w:val="18"/>
          <w:vertAlign w:val="subscript"/>
        </w:rPr>
        <w:t>1i</w:t>
      </w:r>
      <w:r>
        <w:rPr>
          <w:color w:val="464C55"/>
        </w:rPr>
        <w:t> = (</w:t>
      </w:r>
      <w:proofErr w:type="spellStart"/>
      <w:r>
        <w:rPr>
          <w:color w:val="464C55"/>
        </w:rPr>
        <w:t>T</w:t>
      </w:r>
      <w:r>
        <w:rPr>
          <w:color w:val="464C55"/>
          <w:sz w:val="18"/>
          <w:szCs w:val="18"/>
          <w:vertAlign w:val="subscript"/>
        </w:rPr>
        <w:t>кр</w:t>
      </w:r>
      <w:proofErr w:type="spellEnd"/>
      <w:r>
        <w:rPr>
          <w:noProof/>
          <w:color w:val="464C55"/>
        </w:rPr>
        <w:drawing>
          <wp:inline distT="0" distB="0" distL="0" distR="0" wp14:anchorId="3CADC39B" wp14:editId="5A86B2AB">
            <wp:extent cx="104775" cy="180975"/>
            <wp:effectExtent l="0" t="0" r="9525" b="9525"/>
            <wp:docPr id="1" name="Рисунок 1" descr="https://base.garant.ru/files/base/71848426/92268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1848426/9226853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64C55"/>
        </w:rPr>
        <w:t> (</w:t>
      </w:r>
      <w:proofErr w:type="spellStart"/>
      <w:r>
        <w:rPr>
          <w:color w:val="464C55"/>
        </w:rPr>
        <w:t>Р</w:t>
      </w:r>
      <w:r>
        <w:rPr>
          <w:color w:val="464C55"/>
          <w:sz w:val="18"/>
          <w:szCs w:val="18"/>
          <w:vertAlign w:val="subscript"/>
        </w:rPr>
        <w:t>к</w:t>
      </w:r>
      <w:proofErr w:type="spellEnd"/>
      <w:r>
        <w:rPr>
          <w:color w:val="464C55"/>
        </w:rPr>
        <w:t xml:space="preserve"> + </w:t>
      </w:r>
      <w:proofErr w:type="spellStart"/>
      <w:r>
        <w:rPr>
          <w:color w:val="464C55"/>
        </w:rPr>
        <w:t>Пн</w:t>
      </w:r>
      <w:proofErr w:type="spellEnd"/>
      <w:proofErr w:type="gramStart"/>
      <w:r>
        <w:rPr>
          <w:color w:val="464C55"/>
        </w:rPr>
        <w:t>)) </w:t>
      </w:r>
      <w:r>
        <w:rPr>
          <w:noProof/>
          <w:color w:val="464C55"/>
        </w:rPr>
        <w:drawing>
          <wp:inline distT="0" distB="0" distL="0" distR="0" wp14:anchorId="7135EFA4" wp14:editId="2F7B7528">
            <wp:extent cx="104775" cy="180975"/>
            <wp:effectExtent l="0" t="0" r="9525" b="9525"/>
            <wp:docPr id="2" name="Рисунок 2" descr="https://base.garant.ru/files/base/71848426/92268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1848426/9226853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64C55"/>
        </w:rPr>
        <w:t> Н</w:t>
      </w:r>
      <w:proofErr w:type="gramEnd"/>
      <w:r>
        <w:rPr>
          <w:color w:val="464C55"/>
          <w:sz w:val="18"/>
          <w:szCs w:val="18"/>
          <w:vertAlign w:val="subscript"/>
        </w:rPr>
        <w:t>1</w:t>
      </w:r>
      <w:r>
        <w:rPr>
          <w:noProof/>
          <w:color w:val="464C55"/>
        </w:rPr>
        <w:drawing>
          <wp:inline distT="0" distB="0" distL="0" distR="0" wp14:anchorId="3D375AB8" wp14:editId="7684E20A">
            <wp:extent cx="104775" cy="180975"/>
            <wp:effectExtent l="0" t="0" r="9525" b="9525"/>
            <wp:docPr id="3" name="Рисунок 3" descr="https://base.garant.ru/files/base/71848426/92268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files/base/71848426/9226853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64C55"/>
        </w:rPr>
        <w:t> </w:t>
      </w:r>
      <w:proofErr w:type="spellStart"/>
      <w:r>
        <w:rPr>
          <w:color w:val="464C55"/>
        </w:rPr>
        <w:t>Nм</w:t>
      </w:r>
      <w:proofErr w:type="spellEnd"/>
      <w:r>
        <w:rPr>
          <w:color w:val="464C55"/>
        </w:rPr>
        <w:t> </w:t>
      </w:r>
      <w:r>
        <w:rPr>
          <w:noProof/>
          <w:color w:val="464C55"/>
        </w:rPr>
        <w:drawing>
          <wp:inline distT="0" distB="0" distL="0" distR="0" wp14:anchorId="0FA00D4D" wp14:editId="396F3D4C">
            <wp:extent cx="104775" cy="180975"/>
            <wp:effectExtent l="0" t="0" r="9525" b="9525"/>
            <wp:docPr id="4" name="Рисунок 4" descr="https://base.garant.ru/files/base/71848426/92268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files/base/71848426/9226853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64C55"/>
        </w:rPr>
        <w:t> </w:t>
      </w:r>
      <w:proofErr w:type="spellStart"/>
      <w:r>
        <w:rPr>
          <w:color w:val="464C55"/>
        </w:rPr>
        <w:t>S</w:t>
      </w:r>
      <w:r>
        <w:rPr>
          <w:color w:val="464C55"/>
          <w:sz w:val="18"/>
          <w:szCs w:val="18"/>
          <w:vertAlign w:val="subscript"/>
        </w:rPr>
        <w:t>взн</w:t>
      </w:r>
      <w:proofErr w:type="spellEnd"/>
      <w:r>
        <w:rPr>
          <w:color w:val="464C55"/>
        </w:rPr>
        <w:t>,</w:t>
      </w:r>
    </w:p>
    <w:p w:rsidR="00CD41D8" w:rsidRDefault="00CD41D8" w:rsidP="00CD41D8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где: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T</w:t>
      </w:r>
      <w:r>
        <w:rPr>
          <w:color w:val="464C55"/>
          <w:sz w:val="18"/>
          <w:szCs w:val="18"/>
          <w:vertAlign w:val="subscript"/>
        </w:rPr>
        <w:t> </w:t>
      </w:r>
      <w:proofErr w:type="spellStart"/>
      <w:r>
        <w:rPr>
          <w:color w:val="464C55"/>
          <w:sz w:val="18"/>
          <w:szCs w:val="18"/>
          <w:vertAlign w:val="subscript"/>
        </w:rPr>
        <w:t>кр</w:t>
      </w:r>
      <w:proofErr w:type="spellEnd"/>
      <w:r>
        <w:rPr>
          <w:color w:val="464C55"/>
        </w:rPr>
        <w:t> - 5000 рублей - размер выплаты ежемесячного денежного вознаграждения за классное руководство педагогическим работникам общеобразовательных организаций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классах);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Р</w:t>
      </w:r>
      <w:r>
        <w:rPr>
          <w:color w:val="464C55"/>
          <w:sz w:val="18"/>
          <w:szCs w:val="18"/>
          <w:vertAlign w:val="subscript"/>
        </w:rPr>
        <w:t> к</w:t>
      </w:r>
      <w:r>
        <w:rPr>
          <w:color w:val="464C55"/>
        </w:rPr>
        <w:t> - районные коэффициенты;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П</w:t>
      </w:r>
      <w:r>
        <w:rPr>
          <w:color w:val="464C55"/>
          <w:sz w:val="18"/>
          <w:szCs w:val="18"/>
          <w:vertAlign w:val="subscript"/>
        </w:rPr>
        <w:t> н</w:t>
      </w:r>
      <w:r>
        <w:rPr>
          <w:color w:val="464C55"/>
        </w:rPr>
        <w:t> - процентные надбавки;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H</w:t>
      </w:r>
      <w:r>
        <w:rPr>
          <w:color w:val="464C55"/>
          <w:sz w:val="18"/>
          <w:szCs w:val="18"/>
          <w:vertAlign w:val="subscript"/>
        </w:rPr>
        <w:t> 1</w:t>
      </w:r>
      <w:r>
        <w:rPr>
          <w:color w:val="464C55"/>
        </w:rPr>
        <w:t> - заявленная субъектом Российской Федерации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N</w:t>
      </w:r>
      <w:r>
        <w:rPr>
          <w:color w:val="464C55"/>
          <w:sz w:val="18"/>
          <w:szCs w:val="18"/>
          <w:vertAlign w:val="subscript"/>
        </w:rPr>
        <w:t> м</w:t>
      </w:r>
      <w:r>
        <w:rPr>
          <w:color w:val="464C55"/>
        </w:rPr>
        <w:t> 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S</w:t>
      </w:r>
      <w:r>
        <w:rPr>
          <w:color w:val="464C55"/>
          <w:sz w:val="18"/>
          <w:szCs w:val="18"/>
          <w:vertAlign w:val="subscript"/>
        </w:rPr>
        <w:t> </w:t>
      </w:r>
      <w:proofErr w:type="spellStart"/>
      <w:r>
        <w:rPr>
          <w:color w:val="464C55"/>
          <w:sz w:val="18"/>
          <w:szCs w:val="18"/>
          <w:vertAlign w:val="subscript"/>
        </w:rPr>
        <w:t>взн</w:t>
      </w:r>
      <w:proofErr w:type="spellEnd"/>
      <w:r>
        <w:rPr>
          <w:color w:val="464C55"/>
        </w:rPr>
        <w:t> - страховые взносы в государственные внебюджетные фонды.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12. Перечисление иных межбюджетных трансфертов осуществляется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13. 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и фактических значений результатов предоставления иных межбюджетных трансфертов, которые устанавливаются соглашением, -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категории.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14. В случае если субъектом Российской Федерации по состоянию на 31 декабря текущего финансового года допущено </w:t>
      </w:r>
      <w:proofErr w:type="spellStart"/>
      <w:r>
        <w:rPr>
          <w:color w:val="464C55"/>
        </w:rPr>
        <w:t>недостижение</w:t>
      </w:r>
      <w:proofErr w:type="spellEnd"/>
      <w:r>
        <w:rPr>
          <w:color w:val="464C55"/>
        </w:rPr>
        <w:t xml:space="preserve"> значения результата предоставления иных межбюджетных трансфертов, установленного соглашением, размер средств, подлежащих возврату из бюджета субъекта Российской Федерации в федеральный бюджет до 1 мая года, следующего за годом предоставления иных межбюджетных трансфертов (Т</w:t>
      </w:r>
      <w:r>
        <w:rPr>
          <w:color w:val="464C55"/>
          <w:sz w:val="18"/>
          <w:szCs w:val="18"/>
          <w:vertAlign w:val="subscript"/>
        </w:rPr>
        <w:t> 2i</w:t>
      </w:r>
      <w:r>
        <w:rPr>
          <w:color w:val="464C55"/>
        </w:rPr>
        <w:t>), определяется по формуле:</w:t>
      </w:r>
    </w:p>
    <w:p w:rsidR="00CD41D8" w:rsidRDefault="00CD41D8" w:rsidP="00CD41D8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ind w:firstLine="680"/>
        <w:jc w:val="center"/>
        <w:rPr>
          <w:color w:val="464C55"/>
        </w:rPr>
      </w:pPr>
      <w:r>
        <w:rPr>
          <w:color w:val="464C55"/>
        </w:rPr>
        <w:t>Т</w:t>
      </w:r>
      <w:r>
        <w:rPr>
          <w:color w:val="464C55"/>
          <w:sz w:val="18"/>
          <w:szCs w:val="18"/>
          <w:vertAlign w:val="subscript"/>
        </w:rPr>
        <w:t>2i</w:t>
      </w:r>
      <w:r>
        <w:rPr>
          <w:color w:val="464C55"/>
        </w:rPr>
        <w:t> =Т</w:t>
      </w:r>
      <w:r>
        <w:rPr>
          <w:color w:val="464C55"/>
          <w:sz w:val="18"/>
          <w:szCs w:val="18"/>
          <w:vertAlign w:val="subscript"/>
        </w:rPr>
        <w:t>1i</w:t>
      </w:r>
      <w:r>
        <w:rPr>
          <w:noProof/>
          <w:color w:val="464C55"/>
        </w:rPr>
        <w:drawing>
          <wp:inline distT="0" distB="0" distL="0" distR="0" wp14:anchorId="0A2B0F41" wp14:editId="3159F83A">
            <wp:extent cx="133350" cy="200025"/>
            <wp:effectExtent l="0" t="0" r="0" b="0"/>
            <wp:docPr id="5" name="Рисунок 5" descr="https://base.garant.ru/files/base/71848426/3351111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se.garant.ru/files/base/71848426/33511111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64C55"/>
        </w:rPr>
        <w:t> (</w:t>
      </w:r>
      <w:proofErr w:type="spellStart"/>
      <w:r>
        <w:rPr>
          <w:color w:val="464C55"/>
        </w:rPr>
        <w:t>Т</w:t>
      </w:r>
      <w:r>
        <w:rPr>
          <w:color w:val="464C55"/>
          <w:sz w:val="18"/>
          <w:szCs w:val="18"/>
          <w:vertAlign w:val="subscript"/>
        </w:rPr>
        <w:t>кр</w:t>
      </w:r>
      <w:proofErr w:type="spellEnd"/>
      <w:r>
        <w:rPr>
          <w:noProof/>
          <w:color w:val="464C55"/>
        </w:rPr>
        <w:drawing>
          <wp:inline distT="0" distB="0" distL="0" distR="0" wp14:anchorId="30F4E0A5" wp14:editId="3150D50C">
            <wp:extent cx="104775" cy="180975"/>
            <wp:effectExtent l="0" t="0" r="9525" b="9525"/>
            <wp:docPr id="6" name="Рисунок 6" descr="https://base.garant.ru/files/base/71848426/92268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se.garant.ru/files/base/71848426/9226853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64C55"/>
        </w:rPr>
        <w:t> (</w:t>
      </w:r>
      <w:proofErr w:type="spellStart"/>
      <w:r>
        <w:rPr>
          <w:color w:val="464C55"/>
        </w:rPr>
        <w:t>Рк</w:t>
      </w:r>
      <w:proofErr w:type="spellEnd"/>
      <w:r>
        <w:rPr>
          <w:color w:val="464C55"/>
        </w:rPr>
        <w:t xml:space="preserve"> + </w:t>
      </w:r>
      <w:proofErr w:type="spellStart"/>
      <w:r>
        <w:rPr>
          <w:color w:val="464C55"/>
        </w:rPr>
        <w:t>П</w:t>
      </w:r>
      <w:r>
        <w:rPr>
          <w:color w:val="464C55"/>
          <w:sz w:val="18"/>
          <w:szCs w:val="18"/>
          <w:vertAlign w:val="subscript"/>
        </w:rPr>
        <w:t>н</w:t>
      </w:r>
      <w:proofErr w:type="spellEnd"/>
      <w:proofErr w:type="gramStart"/>
      <w:r>
        <w:rPr>
          <w:color w:val="464C55"/>
        </w:rPr>
        <w:t>)) </w:t>
      </w:r>
      <w:r>
        <w:rPr>
          <w:noProof/>
          <w:color w:val="464C55"/>
        </w:rPr>
        <w:drawing>
          <wp:inline distT="0" distB="0" distL="0" distR="0" wp14:anchorId="3D5ADDFA" wp14:editId="60A42E9C">
            <wp:extent cx="104775" cy="180975"/>
            <wp:effectExtent l="0" t="0" r="9525" b="9525"/>
            <wp:docPr id="7" name="Рисунок 7" descr="https://base.garant.ru/files/base/71848426/92268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se.garant.ru/files/base/71848426/9226853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64C55"/>
        </w:rPr>
        <w:t> Н</w:t>
      </w:r>
      <w:proofErr w:type="gramEnd"/>
      <w:r>
        <w:rPr>
          <w:color w:val="464C55"/>
          <w:sz w:val="18"/>
          <w:szCs w:val="18"/>
          <w:vertAlign w:val="subscript"/>
        </w:rPr>
        <w:t>2</w:t>
      </w:r>
      <w:r>
        <w:rPr>
          <w:noProof/>
          <w:color w:val="464C55"/>
        </w:rPr>
        <w:drawing>
          <wp:inline distT="0" distB="0" distL="0" distR="0" wp14:anchorId="620296F6" wp14:editId="45FA7FBC">
            <wp:extent cx="104775" cy="180975"/>
            <wp:effectExtent l="0" t="0" r="9525" b="9525"/>
            <wp:docPr id="8" name="Рисунок 8" descr="https://base.garant.ru/files/base/71848426/92268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ase.garant.ru/files/base/71848426/9226853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64C55"/>
        </w:rPr>
        <w:t> </w:t>
      </w:r>
      <w:proofErr w:type="spellStart"/>
      <w:r>
        <w:rPr>
          <w:color w:val="464C55"/>
        </w:rPr>
        <w:t>N</w:t>
      </w:r>
      <w:r>
        <w:rPr>
          <w:color w:val="464C55"/>
          <w:sz w:val="18"/>
          <w:szCs w:val="18"/>
          <w:vertAlign w:val="subscript"/>
        </w:rPr>
        <w:t>м</w:t>
      </w:r>
      <w:proofErr w:type="spellEnd"/>
      <w:r>
        <w:rPr>
          <w:noProof/>
          <w:color w:val="464C55"/>
        </w:rPr>
        <w:drawing>
          <wp:inline distT="0" distB="0" distL="0" distR="0" wp14:anchorId="18663EBA" wp14:editId="4DE13DD7">
            <wp:extent cx="104775" cy="180975"/>
            <wp:effectExtent l="0" t="0" r="9525" b="9525"/>
            <wp:docPr id="9" name="Рисунок 9" descr="https://base.garant.ru/files/base/71848426/92268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ase.garant.ru/files/base/71848426/9226853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64C55"/>
        </w:rPr>
        <w:t> </w:t>
      </w:r>
      <w:proofErr w:type="spellStart"/>
      <w:r>
        <w:rPr>
          <w:color w:val="464C55"/>
        </w:rPr>
        <w:t>S</w:t>
      </w:r>
      <w:r>
        <w:rPr>
          <w:color w:val="464C55"/>
          <w:sz w:val="18"/>
          <w:szCs w:val="18"/>
          <w:vertAlign w:val="subscript"/>
        </w:rPr>
        <w:t>взн</w:t>
      </w:r>
      <w:proofErr w:type="spellEnd"/>
      <w:r>
        <w:rPr>
          <w:color w:val="464C55"/>
        </w:rPr>
        <w:t>,</w:t>
      </w:r>
    </w:p>
    <w:p w:rsidR="00CD41D8" w:rsidRDefault="00CD41D8" w:rsidP="00CD41D8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где H</w:t>
      </w:r>
      <w:r>
        <w:rPr>
          <w:color w:val="464C55"/>
          <w:sz w:val="18"/>
          <w:szCs w:val="18"/>
          <w:vertAlign w:val="subscript"/>
        </w:rPr>
        <w:t> 2</w:t>
      </w:r>
      <w:r>
        <w:rPr>
          <w:color w:val="464C55"/>
        </w:rPr>
        <w:t> - фактическая численность педагогических работников общеобразовательных организаций субъекта Российской Федерации, получающих вознаграждение за классное руководство.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15. Не позднее 20 января года, следующего за отчетным годом, в Министерство просвещения Российской Федерации представляется отчетность о расходах бюджетов субъектов Российской Федерации и достижении значения результата предоставления иного межбюджетного трансферта, установленного соглашением.</w:t>
      </w:r>
    </w:p>
    <w:p w:rsidR="00CD41D8" w:rsidRDefault="00CD41D8" w:rsidP="00CD41D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16. В случае нецелевого использования иного межбюджетного трансферта субъектом Российской Федерации к нему применяются бюджетные меры принуждения, предусмотренные </w:t>
      </w:r>
      <w:hyperlink r:id="rId12" w:anchor="block_2" w:history="1">
        <w:r>
          <w:rPr>
            <w:rStyle w:val="a3"/>
            <w:color w:val="3272C0"/>
            <w:u w:val="none"/>
          </w:rPr>
          <w:t>бюджетным законодательством</w:t>
        </w:r>
      </w:hyperlink>
      <w:r>
        <w:rPr>
          <w:color w:val="464C55"/>
        </w:rPr>
        <w:t> Российской Федерации.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17. Ответственность за достоверность представляемых в Министерство просвещения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CD41D8" w:rsidRDefault="00CD41D8" w:rsidP="00CD41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18. Контроль за соблюдением субъектами Российской Федерации целей, условий и порядка предоставления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контроля.</w:t>
      </w:r>
    </w:p>
    <w:p w:rsidR="00665BC5" w:rsidRDefault="00665BC5"/>
    <w:sectPr w:rsidR="006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B1"/>
    <w:rsid w:val="00665BC5"/>
    <w:rsid w:val="00CD41D8"/>
    <w:rsid w:val="00E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0D13-0CD8-41C1-8F1B-D2E3BE0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D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41D8"/>
  </w:style>
  <w:style w:type="character" w:styleId="a3">
    <w:name w:val="Hyperlink"/>
    <w:basedOn w:val="a0"/>
    <w:uiPriority w:val="99"/>
    <w:semiHidden/>
    <w:unhideWhenUsed/>
    <w:rsid w:val="00CD41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D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5955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848426/5df3cf44452aab7de28d69de5bee2373/" TargetMode="External"/><Relationship Id="rId12" Type="http://schemas.openxmlformats.org/officeDocument/2006/relationships/hyperlink" Target="https://base.garant.ru/12112604/741609f9002bd54a24e5c49cb5af95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8/5633a92d35b966c2ba2f1e859e7bdd69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base.garant.ru/71848426/5df3cf44452aab7de28d69de5bee2373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base.garant.ru/71848426/5df3cf44452aab7de28d69de5bee2373/" TargetMode="External"/><Relationship Id="rId9" Type="http://schemas.openxmlformats.org/officeDocument/2006/relationships/hyperlink" Target="https://base.garant.ru/71848426/5df3cf44452aab7de28d69de5bee237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2020-08-27T12:08:00Z</dcterms:created>
  <dcterms:modified xsi:type="dcterms:W3CDTF">2020-08-27T12:08:00Z</dcterms:modified>
</cp:coreProperties>
</file>